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9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0B2D85B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832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6C6F7394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Laboratórne vyšetrovacie metódy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87FB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Technology</w:t>
            </w:r>
            <w:proofErr w:type="spellEnd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832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6262ECD0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595F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1CDAB0D" w:rsidR="00500888" w:rsidRPr="00233BF3" w:rsidRDefault="0050088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4E78D076" w:rsidR="001655DD" w:rsidRPr="00E31F09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657B271F" w:rsidR="00500888" w:rsidRPr="00E31F09" w:rsidRDefault="00194F75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https://</w:t>
            </w:r>
            <w:r w:rsidRPr="00194F75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www.amazon.de/verschiedenen-Medizinischen-Versorgungszentren-institutionstheoretischen-Gesichtspunkten/dp/3830097964</w:t>
            </w: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Pr="00321B90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i/>
                <w:color w:val="333333"/>
                <w:sz w:val="16"/>
                <w:szCs w:val="16"/>
                <w:lang w:eastAsia="sk-SK"/>
              </w:rPr>
            </w:pPr>
          </w:p>
          <w:p w14:paraId="1A377F62" w14:textId="77777777" w:rsidR="00F50B7A" w:rsidRPr="00321B90" w:rsidRDefault="00F50B7A" w:rsidP="00F50B7A">
            <w:pPr>
              <w:pStyle w:val="Formatvorlage1"/>
              <w:spacing w:line="240" w:lineRule="auto"/>
              <w:ind w:left="567" w:hanging="567"/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</w:pP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Die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drei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verschiedenen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Typen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von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Medizinischen</w:t>
            </w:r>
            <w:proofErr w:type="spellEnd"/>
          </w:p>
          <w:p w14:paraId="5E1E895F" w14:textId="746112BA" w:rsidR="00F50B7A" w:rsidRPr="00321B90" w:rsidRDefault="00F50B7A" w:rsidP="00F50B7A">
            <w:pPr>
              <w:pStyle w:val="Formatvorlage1"/>
              <w:spacing w:line="240" w:lineRule="auto"/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</w:pP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Versorgungszentren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unter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institutionstheoretischen</w:t>
            </w:r>
            <w:proofErr w:type="spellEnd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>Gesichtspunkten</w:t>
            </w:r>
            <w:proofErr w:type="spellEnd"/>
            <w:r w:rsid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r w:rsidR="00561140" w:rsidRPr="00321B90">
              <w:rPr>
                <w:rFonts w:ascii="Calibri" w:hAnsi="Calibri" w:cs="Calibri"/>
                <w:bCs w:val="0"/>
                <w:i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r w:rsidR="00561140"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[textový dokument (</w:t>
            </w:r>
            <w:proofErr w:type="spellStart"/>
            <w:r w:rsidR="00561140"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print</w:t>
            </w:r>
            <w:proofErr w:type="spellEnd"/>
            <w:r w:rsidR="00561140"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)] : </w:t>
            </w:r>
            <w:r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Eine</w:t>
            </w:r>
            <w:proofErr w:type="spellEnd"/>
            <w:r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321B90">
              <w:rPr>
                <w:rFonts w:ascii="Calibri" w:hAnsi="Calibri" w:cs="Calibri"/>
                <w:b w:val="0"/>
                <w:bCs w:val="0"/>
                <w:color w:val="2E74B5" w:themeColor="accent5" w:themeShade="BF"/>
                <w:sz w:val="16"/>
                <w:szCs w:val="16"/>
                <w:lang w:val="sk-SK" w:eastAsia="sk-SK"/>
              </w:rPr>
              <w:t>typologische</w:t>
            </w:r>
            <w:proofErr w:type="spellEnd"/>
          </w:p>
          <w:p w14:paraId="6DE6A42F" w14:textId="7F1AEB3A" w:rsidR="00321B90" w:rsidRPr="00321B90" w:rsidRDefault="00321B90" w:rsidP="00321B9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Public-Health-Betrachtung</w:t>
            </w:r>
            <w:proofErr w:type="spellEnd"/>
            <w:r w:rsidR="00F50B7A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Fabian</w:t>
            </w:r>
            <w:proofErr w:type="spellEnd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[Autor, 5</w:t>
            </w:r>
            <w:r w:rsidR="009B20AC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0</w:t>
            </w:r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%] ; </w:t>
            </w:r>
            <w:proofErr w:type="spellStart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Attila [Autor, 50</w:t>
            </w:r>
            <w:r w:rsidR="009B20AC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%].</w:t>
            </w:r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="009B20AC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–</w:t>
            </w:r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1.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6114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vyd</w:t>
            </w:r>
            <w:proofErr w:type="spellEnd"/>
            <w:r w:rsidR="009B20AC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– Hamburg (Nemecko) : </w:t>
            </w:r>
            <w:proofErr w:type="spellStart"/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Kovač</w:t>
            </w:r>
            <w:proofErr w:type="spellEnd"/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2017. – 105 s. – [recenzované]. – ISBN 978-3-8300-9796-9</w:t>
            </w:r>
          </w:p>
          <w:p w14:paraId="4435947D" w14:textId="77777777" w:rsidR="00321B90" w:rsidRPr="00321B90" w:rsidRDefault="00321B90" w:rsidP="00321B90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321B90">
              <w:rPr>
                <w:rFonts w:ascii="Calibri" w:eastAsia="Times New Roman" w:hAnsi="Calibri" w:cs="Calibri"/>
                <w:b/>
                <w:color w:val="2E74B5" w:themeColor="accent5" w:themeShade="BF"/>
                <w:sz w:val="16"/>
                <w:szCs w:val="16"/>
                <w:lang w:eastAsia="sk-SK"/>
              </w:rPr>
              <w:t xml:space="preserve">Počet všetkých autorov: 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2</w:t>
            </w:r>
          </w:p>
          <w:p w14:paraId="359CE336" w14:textId="329A8B81" w:rsidR="00084FD3" w:rsidRPr="00E31F09" w:rsidRDefault="00084FD3" w:rsidP="009B20AC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5CC28475" w:rsidR="00500888" w:rsidRPr="00714638" w:rsidRDefault="00714638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9B20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B97B23F" w:rsidR="00500888" w:rsidRPr="00E31F09" w:rsidRDefault="00194F75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Segoe UI" w:hAnsi="Segoe UI" w:cs="Segoe UI"/>
                <w:color w:val="242424"/>
                <w:shd w:val="clear" w:color="auto" w:fill="FFFFFF"/>
              </w:rPr>
              <w:t> </w:t>
            </w:r>
            <w:hyperlink r:id="rId16" w:tgtFrame="_blank" w:history="1">
              <w:r w:rsidRPr="00194F75">
                <w:rPr>
                  <w:rFonts w:ascii="Calibri" w:eastAsia="Times New Roman" w:hAnsi="Calibri" w:cs="Calibri"/>
                  <w:color w:val="2E74B5" w:themeColor="accent5" w:themeShade="BF"/>
                  <w:sz w:val="16"/>
                  <w:szCs w:val="16"/>
                  <w:lang w:eastAsia="sk-SK"/>
                </w:rPr>
                <w:t>http://www.verlagdrkovac.de/978-3-8300-9796-9.htm</w:t>
              </w:r>
            </w:hyperlink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1D5B6C3" w:rsidR="00500888" w:rsidRDefault="0046382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21B9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50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%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21B90"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50</w:t>
            </w:r>
            <w:r w:rsidRP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143C3CF3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334AAFC" w14:textId="0C1DB8BC" w:rsidR="00500888" w:rsidRDefault="00714638" w:rsidP="00321B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monography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shows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three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different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types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with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focus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institutional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economics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model of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Identity Triangle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example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used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give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better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acknowledgement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these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aspects</w:t>
            </w:r>
            <w:proofErr w:type="spellEnd"/>
            <w:r w:rsidR="00321B90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="00CF118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E36A8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C998F5" w14:textId="296240CB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1A871C6" w14:textId="77777777" w:rsidR="000A41A1" w:rsidRDefault="000A41A1" w:rsidP="00CF1184">
            <w:pPr>
              <w:spacing w:after="0" w:line="240" w:lineRule="auto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</w:p>
          <w:p w14:paraId="255DE05A" w14:textId="38080943" w:rsidR="00500888" w:rsidRDefault="000A41A1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summarizes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institutional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theory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regarding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three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types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shown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detail, so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one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can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how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they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developed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aspects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institutional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theory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are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made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recognisable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focus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determined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very</w:t>
            </w:r>
            <w:proofErr w:type="spellEnd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clearly</w:t>
            </w:r>
            <w:proofErr w:type="spellEnd"/>
            <w:r w:rsidR="00E63454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  <w:r w:rsidR="00714638" w:rsidRPr="00E6345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FC78E7" w14:textId="31A9912B" w:rsidR="000A41A1" w:rsidRPr="000A41A1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[o3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]</w:t>
            </w:r>
            <w:r w:rsidR="00780A7A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1</w:t>
            </w: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2019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Mrázová, M.: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Zdravotníctví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sociální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práce, 14,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2019, 1,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 1 – 9.</w:t>
            </w:r>
          </w:p>
          <w:p w14:paraId="0EB7001A" w14:textId="29E30A84" w:rsidR="000A41A1" w:rsidRPr="000A41A1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[o1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]</w:t>
            </w:r>
            <w:r w:rsidR="00780A7A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>2</w:t>
            </w: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2020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3-29, In: Mrázová,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F.,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A. (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Eds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.):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Global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Challenges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I., Hamburg: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Kovac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2020, 163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ISSN 2194-3753, ISBN 978-3-339-11960-5,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eISBN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978-3-339-11961-2 – SCOPUS</w:t>
            </w:r>
          </w:p>
          <w:p w14:paraId="0E73B30D" w14:textId="245A51FC" w:rsidR="000A41A1" w:rsidRPr="000A41A1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2020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Kónyová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Z.,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 143-163</w:t>
            </w: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</w:t>
            </w: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In: Mrázová,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F.,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, A. (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Eds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.):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Global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Challenges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I. Hamburg:  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Verlag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Dr.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Kovac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2020, 163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ISSN 2194-3753, ISBN 978-3-339-11960-5,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eISBN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978-3- 339-11961-2 – SCOPUS</w:t>
            </w:r>
          </w:p>
          <w:p w14:paraId="07A8A004" w14:textId="77777777" w:rsidR="000A41A1" w:rsidRPr="000A41A1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[o3] 2021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Steinecker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M.,: International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New Technologies and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Social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Work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Bratislava,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pp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. 64-71,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Content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No.2, Vol.16, ISSN: 1336-9326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print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eISSN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2644-5433 - CEEOL, BMS,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CiBaMed</w:t>
            </w:r>
            <w:proofErr w:type="spellEnd"/>
          </w:p>
          <w:p w14:paraId="5D0D2A6E" w14:textId="5362CC10" w:rsidR="000A41A1" w:rsidRPr="00780A7A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[o1] 2021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Renger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A.,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Czirfuszová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M.: pp.1-10.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Advertising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Investment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Germany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, In: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Nursing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&amp;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Midwifery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(JNMR), status: in press, International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Open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Access </w:t>
            </w:r>
            <w:proofErr w:type="spellStart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Journal</w:t>
            </w:r>
            <w:proofErr w:type="spellEnd"/>
            <w:r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: </w:t>
            </w:r>
            <w:r w:rsidRPr="00780A7A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https://manuscriptscientific.com/articles/22/journal-of-nursing-midwifery-research/1/Press - </w:t>
            </w:r>
            <w:proofErr w:type="spellStart"/>
            <w:r w:rsidRPr="00780A7A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PubMed</w:t>
            </w:r>
            <w:proofErr w:type="spellEnd"/>
            <w:r w:rsidRPr="00780A7A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</w:p>
          <w:p w14:paraId="6C144D4A" w14:textId="51C1B59F" w:rsidR="000A41A1" w:rsidRDefault="00780A7A" w:rsidP="000A41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 xml:space="preserve">1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foreign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cited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databases</w:t>
            </w:r>
            <w:proofErr w:type="spellEnd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WOS, </w:t>
            </w:r>
            <w:proofErr w:type="spellStart"/>
            <w:r w:rsidR="000A41A1" w:rsidRPr="00511D1D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Scopus</w:t>
            </w:r>
            <w:proofErr w:type="spellEnd"/>
          </w:p>
          <w:p w14:paraId="2B7004CE" w14:textId="3F1D9497" w:rsidR="000A41A1" w:rsidRPr="000A41A1" w:rsidRDefault="00780A7A" w:rsidP="000A41A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</w:pPr>
            <w:r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vertAlign w:val="superscript"/>
                <w:lang w:eastAsia="sk-SK"/>
              </w:rPr>
              <w:t xml:space="preserve">2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Citations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foreign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publications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not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cited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citation</w:t>
            </w:r>
            <w:proofErr w:type="spellEnd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A41A1" w:rsidRPr="000A41A1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databases</w:t>
            </w:r>
            <w:proofErr w:type="spellEnd"/>
          </w:p>
          <w:p w14:paraId="3893147E" w14:textId="5D219314" w:rsidR="000A41A1" w:rsidRPr="000A41A1" w:rsidRDefault="000A41A1" w:rsidP="000A41A1">
            <w:pPr>
              <w:jc w:val="both"/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</w:pPr>
          </w:p>
          <w:p w14:paraId="7C7E3D87" w14:textId="7E2B2C5D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1900DC" w14:textId="759B3102" w:rsidR="00714638" w:rsidRDefault="007146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</w:p>
          <w:p w14:paraId="0262E815" w14:textId="77777777" w:rsidR="009A1EBB" w:rsidRPr="00FE109E" w:rsidRDefault="009A1EBB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  <w:p w14:paraId="4215764C" w14:textId="5E5DCE13" w:rsidR="00500888" w:rsidRPr="009C7963" w:rsidRDefault="00714638" w:rsidP="0098203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The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monograph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>focuses</w:t>
            </w:r>
            <w:proofErr w:type="spellEnd"/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Institutional</w:t>
            </w:r>
            <w:proofErr w:type="spellEnd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Economics</w:t>
            </w:r>
            <w:proofErr w:type="spellEnd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982033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application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Centres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as a new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legal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form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care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>Germany</w:t>
            </w:r>
            <w:proofErr w:type="spellEnd"/>
            <w:r w:rsidR="000A41A1" w:rsidRPr="001C3AA4">
              <w:rPr>
                <w:rFonts w:ascii="Calibri" w:eastAsia="Times New Roman" w:hAnsi="Calibri" w:cs="Calibri" w:hint="default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. </w:t>
            </w:r>
            <w:r w:rsidR="000A41A1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val="sk-SK"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0983F66F" w:rsidR="00166F0A" w:rsidRDefault="00166F0A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A244CA5" w14:textId="7AF11767" w:rsidR="008C7324" w:rsidRDefault="00166F0A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8C732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C732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monograph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offers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 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approach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a new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research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perspective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for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medical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care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centres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the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field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Public</w:t>
            </w:r>
            <w:proofErr w:type="spellEnd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82033" w:rsidRPr="001C3AA4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Health</w:t>
            </w:r>
            <w:proofErr w:type="spellEnd"/>
            <w:r w:rsidR="00982033">
              <w:rPr>
                <w:rFonts w:ascii="Calibri" w:eastAsia="Times New Roman" w:hAnsi="Calibri" w:cs="Calibri"/>
                <w:color w:val="2E74B5" w:themeColor="accent5" w:themeShade="BF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panose1 w:val="02020603050405020304"/>
    <w:charset w:val="86"/>
    <w:family w:val="auto"/>
    <w:pitch w:val="default"/>
    <w:sig w:usb0="E0000AFF" w:usb1="500078FF" w:usb2="00000021" w:usb3="00000000" w:csb0="600001BF" w:csb1="DFF7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888"/>
    <w:rsid w:val="0008324C"/>
    <w:rsid w:val="00084FD3"/>
    <w:rsid w:val="000A41A1"/>
    <w:rsid w:val="001213B2"/>
    <w:rsid w:val="00131F27"/>
    <w:rsid w:val="001655DD"/>
    <w:rsid w:val="00166F0A"/>
    <w:rsid w:val="00194F75"/>
    <w:rsid w:val="001D22E5"/>
    <w:rsid w:val="00233BF3"/>
    <w:rsid w:val="00321B90"/>
    <w:rsid w:val="00463824"/>
    <w:rsid w:val="004E5266"/>
    <w:rsid w:val="00500888"/>
    <w:rsid w:val="00561140"/>
    <w:rsid w:val="00595FA2"/>
    <w:rsid w:val="00714638"/>
    <w:rsid w:val="00773128"/>
    <w:rsid w:val="00780A7A"/>
    <w:rsid w:val="00811DC4"/>
    <w:rsid w:val="008C7324"/>
    <w:rsid w:val="00964E8F"/>
    <w:rsid w:val="00982033"/>
    <w:rsid w:val="009901ED"/>
    <w:rsid w:val="009A1EBB"/>
    <w:rsid w:val="009B20AC"/>
    <w:rsid w:val="009C4342"/>
    <w:rsid w:val="00A553DE"/>
    <w:rsid w:val="00AF7D17"/>
    <w:rsid w:val="00B4359E"/>
    <w:rsid w:val="00B53689"/>
    <w:rsid w:val="00C87FB2"/>
    <w:rsid w:val="00CF1184"/>
    <w:rsid w:val="00D33A7E"/>
    <w:rsid w:val="00E36A84"/>
    <w:rsid w:val="00E63454"/>
    <w:rsid w:val="00F50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  <w:style w:type="paragraph" w:customStyle="1" w:styleId="Formatvorlage1">
    <w:name w:val="Formatvorlage1"/>
    <w:basedOn w:val="Normlny"/>
    <w:uiPriority w:val="99"/>
    <w:rsid w:val="00F50B7A"/>
    <w:pPr>
      <w:spacing w:after="0" w:line="360" w:lineRule="auto"/>
      <w:jc w:val="both"/>
    </w:pPr>
    <w:rPr>
      <w:rFonts w:ascii="Courier New" w:eastAsia="Times New Roman" w:hAnsi="Courier New" w:cs="Courier New"/>
      <w:b/>
      <w:bCs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verlagdrkovac.de/978-3-8300-9796-9.htm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s://www.portalvs.sk/regzam/detail/27117?mode=full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1311</Words>
  <Characters>7475</Characters>
  <Application>Microsoft Office Word</Application>
  <DocSecurity>0</DocSecurity>
  <Lines>62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Iroda</cp:lastModifiedBy>
  <cp:revision>2</cp:revision>
  <cp:lastPrinted>2022-10-29T15:51:00Z</cp:lastPrinted>
  <dcterms:created xsi:type="dcterms:W3CDTF">2022-10-30T10:37:00Z</dcterms:created>
  <dcterms:modified xsi:type="dcterms:W3CDTF">2022-10-30T10:37:00Z</dcterms:modified>
</cp:coreProperties>
</file>